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3833" w:rsidRDefault="00747D8B">
      <w:r>
        <w:t>Grafični prikaz nepremičnine ID znak parcela 2175 1165</w:t>
      </w:r>
    </w:p>
    <w:p w:rsidR="00747D8B" w:rsidRDefault="00747D8B"/>
    <w:p w:rsidR="00747D8B" w:rsidRDefault="00747D8B">
      <w:r w:rsidRPr="00747D8B">
        <w:drawing>
          <wp:inline distT="0" distB="0" distL="0" distR="0" wp14:anchorId="6BED792F" wp14:editId="43C445BC">
            <wp:extent cx="5760720" cy="4414520"/>
            <wp:effectExtent l="0" t="0" r="0" b="508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1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7D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D8B"/>
    <w:rsid w:val="00747D8B"/>
    <w:rsid w:val="0086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C89D9C-6EB3-4935-8C56-EA044D42C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="Cambria Math"/>
        <w:szCs w:val="16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Sedej</dc:creator>
  <cp:keywords/>
  <dc:description/>
  <cp:lastModifiedBy>Nina Sedej</cp:lastModifiedBy>
  <cp:revision>1</cp:revision>
  <dcterms:created xsi:type="dcterms:W3CDTF">2026-07-14T12:30:00Z</dcterms:created>
  <dcterms:modified xsi:type="dcterms:W3CDTF">2026-07-14T12:31:00Z</dcterms:modified>
</cp:coreProperties>
</file>